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A8B" w:rsidRDefault="00346A8B" w:rsidP="00346A8B">
      <w:pPr>
        <w:pStyle w:val="Heading1"/>
      </w:pPr>
      <w:r>
        <w:t>Appendixes</w:t>
      </w:r>
    </w:p>
    <w:p w:rsidR="00346A8B" w:rsidRPr="006C45F8" w:rsidRDefault="00346A8B" w:rsidP="00346A8B">
      <w:pPr>
        <w:pStyle w:val="Heading2"/>
      </w:pPr>
      <w:r>
        <w:t>Appendix A</w:t>
      </w:r>
    </w:p>
    <w:p w:rsidR="00346A8B" w:rsidRPr="005F534C" w:rsidRDefault="00346A8B" w:rsidP="00346A8B">
      <w:pPr>
        <w:keepNext/>
        <w:spacing w:before="160" w:after="8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i/>
          <w:iCs/>
          <w:color w:val="333333"/>
          <w:sz w:val="20"/>
          <w:szCs w:val="20"/>
        </w:rPr>
        <w:t>Table A1. Search Terms by Domain</w:t>
      </w:r>
    </w:p>
    <w:tbl>
      <w:tblPr>
        <w:tblStyle w:val="ListTable3-Accent1"/>
        <w:tblW w:w="9360" w:type="dxa"/>
        <w:tblLook w:val="04A0" w:firstRow="1" w:lastRow="0" w:firstColumn="1" w:lastColumn="0" w:noHBand="0" w:noVBand="1"/>
      </w:tblPr>
      <w:tblGrid>
        <w:gridCol w:w="2200"/>
        <w:gridCol w:w="7160"/>
      </w:tblGrid>
      <w:tr w:rsidR="00346A8B" w:rsidTr="00852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0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Domain</w:t>
            </w:r>
          </w:p>
        </w:tc>
        <w:tc>
          <w:tcPr>
            <w:tcW w:w="716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Representative Search Terms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vAlign w:val="center"/>
          </w:tcPr>
          <w:p w:rsidR="00346A8B" w:rsidRPr="00944FD8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Population Ageing</w:t>
            </w:r>
          </w:p>
        </w:tc>
        <w:tc>
          <w:tcPr>
            <w:tcW w:w="71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Population ageing, demographic transition, old-age dependency ratio, fertility rate, longevity, elderly population, ageing-in-place, dementia prevalence, healthy ageing, frailty, social isolation in older adults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vAlign w:val="center"/>
          </w:tcPr>
          <w:p w:rsidR="00346A8B" w:rsidRPr="00944FD8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Healthcare System Pressure</w:t>
            </w:r>
          </w:p>
        </w:tc>
        <w:tc>
          <w:tcPr>
            <w:tcW w:w="71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 xml:space="preserve">Healthcare expenditure, long-term care workforce, eldercare costs, healthcare fiscal sustainability, </w:t>
            </w: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multimorbidity</w:t>
            </w:r>
            <w:proofErr w:type="spellEnd"/>
            <w:r>
              <w:rPr>
                <w:rFonts w:asciiTheme="minorHAnsi" w:hAnsiTheme="minorHAnsi"/>
                <w:sz w:val="17"/>
                <w:szCs w:val="17"/>
              </w:rPr>
              <w:t>, geriatric care, caregiver burden, eldercare workforce shortage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vAlign w:val="center"/>
          </w:tcPr>
          <w:p w:rsidR="00346A8B" w:rsidRPr="00944FD8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Artificial Intelligence</w:t>
            </w:r>
          </w:p>
        </w:tc>
        <w:tc>
          <w:tcPr>
            <w:tcW w:w="71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Artificial intelligence, agentic AI, machine learning, remote monitoring, assistive robotics, natural language processing, reinforcement learning, digital twin, ambient intelligence, healthcare AI, algorithmic bias, AI ethics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vAlign w:val="center"/>
          </w:tcPr>
          <w:p w:rsidR="00346A8B" w:rsidRPr="00944FD8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Geographic Scope</w:t>
            </w:r>
          </w:p>
        </w:tc>
        <w:tc>
          <w:tcPr>
            <w:tcW w:w="71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Japan, Italy, Germany, France, South Korea, Singapore, Portugal, Finland, Greece, Netherlands, OECD nations, EU member states</w:t>
            </w:r>
          </w:p>
        </w:tc>
      </w:tr>
    </w:tbl>
    <w:p w:rsidR="00346A8B" w:rsidRDefault="00346A8B" w:rsidP="00346A8B"/>
    <w:p w:rsidR="00346A8B" w:rsidRDefault="00346A8B" w:rsidP="00346A8B">
      <w:pPr>
        <w:pStyle w:val="Heading2"/>
      </w:pPr>
      <w:r>
        <w:t>Appendix B</w:t>
      </w:r>
    </w:p>
    <w:p w:rsidR="00346A8B" w:rsidRPr="005F534C" w:rsidRDefault="00346A8B" w:rsidP="00346A8B">
      <w:pPr>
        <w:keepNext/>
        <w:spacing w:before="160" w:after="8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i/>
          <w:iCs/>
          <w:color w:val="333333"/>
          <w:sz w:val="20"/>
          <w:szCs w:val="20"/>
        </w:rPr>
        <w:t>Table B1. Inclusion and Exclusion Criteria</w:t>
      </w:r>
    </w:p>
    <w:tbl>
      <w:tblPr>
        <w:tblStyle w:val="ListTable3-Accent1"/>
        <w:tblW w:w="9360" w:type="dxa"/>
        <w:tblLook w:val="04A0" w:firstRow="1" w:lastRow="0" w:firstColumn="1" w:lastColumn="0" w:noHBand="0" w:noVBand="1"/>
      </w:tblPr>
      <w:tblGrid>
        <w:gridCol w:w="4680"/>
        <w:gridCol w:w="4680"/>
      </w:tblGrid>
      <w:tr w:rsidR="00346A8B" w:rsidTr="00852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68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rPr>
                <w:rFonts w:asciiTheme="minorHAnsi" w:hAnsiTheme="minorHAnsi"/>
                <w:b w:val="0"/>
                <w:bCs w:val="0"/>
                <w:color w:val="FFFFFF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Inclusion Criteria</w:t>
            </w:r>
          </w:p>
        </w:tc>
        <w:tc>
          <w:tcPr>
            <w:tcW w:w="468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 w:val="0"/>
                <w:color w:val="FFFFFF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Exclusion Criteria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vAlign w:val="center"/>
          </w:tcPr>
          <w:p w:rsidR="00346A8B" w:rsidRPr="00944FD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Published January 2020 – December 2025, with earlier foundational studies included where necessary.</w:t>
            </w:r>
          </w:p>
        </w:tc>
        <w:tc>
          <w:tcPr>
            <w:tcW w:w="468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Published before January 2020 (unless foundational)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vAlign w:val="center"/>
          </w:tcPr>
          <w:p w:rsidR="00346A8B" w:rsidRPr="00944FD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Population ageing, healthcare system pressure, AI in healthcare, or related policy in OECD or advanced economy context</w:t>
            </w:r>
          </w:p>
        </w:tc>
        <w:tc>
          <w:tcPr>
            <w:tcW w:w="468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Narrow clinical study unrelated to ageing or AI healthcare integration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vAlign w:val="center"/>
          </w:tcPr>
          <w:p w:rsidR="00346A8B" w:rsidRPr="00944FD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Peer-reviewed empirical study, systematic review, meta-analysis, or authoritative grey literature (WHO, OECD, UN, national ministries)</w:t>
            </w:r>
          </w:p>
        </w:tc>
        <w:tc>
          <w:tcPr>
            <w:tcW w:w="468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Opinion pieces, editorials, or blog posts without an empirical basis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vAlign w:val="center"/>
          </w:tcPr>
          <w:p w:rsidR="00346A8B" w:rsidRPr="00944FD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Available in English or with verified English translation</w:t>
            </w:r>
          </w:p>
        </w:tc>
        <w:tc>
          <w:tcPr>
            <w:tcW w:w="468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Unavailable in full text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  <w:vAlign w:val="center"/>
          </w:tcPr>
          <w:p w:rsidR="00346A8B" w:rsidRPr="00944FD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Reports on AI applications in healthcare with outcome or implementation data</w:t>
            </w:r>
          </w:p>
        </w:tc>
        <w:tc>
          <w:tcPr>
            <w:tcW w:w="468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AI studies in non-healthcare domains without transferable evidence</w:t>
            </w:r>
          </w:p>
        </w:tc>
      </w:tr>
    </w:tbl>
    <w:p w:rsidR="00346A8B" w:rsidRDefault="00346A8B" w:rsidP="00346A8B">
      <w:pPr>
        <w:keepNext/>
        <w:spacing w:before="160" w:after="80"/>
        <w:rPr>
          <w:rFonts w:asciiTheme="minorHAnsi" w:hAnsiTheme="minorHAnsi"/>
          <w:i/>
          <w:iCs/>
          <w:color w:val="333333"/>
          <w:sz w:val="20"/>
          <w:szCs w:val="20"/>
        </w:rPr>
      </w:pPr>
    </w:p>
    <w:p w:rsidR="00346A8B" w:rsidRPr="002802E3" w:rsidRDefault="00346A8B" w:rsidP="00346A8B">
      <w:pPr>
        <w:keepNext/>
        <w:spacing w:before="160" w:after="80"/>
        <w:rPr>
          <w:rFonts w:asciiTheme="minorHAnsi" w:hAnsiTheme="minorHAnsi"/>
          <w:i/>
          <w:iCs/>
          <w:color w:val="333333"/>
          <w:sz w:val="20"/>
          <w:szCs w:val="20"/>
        </w:rPr>
      </w:pPr>
      <w:r>
        <w:rPr>
          <w:rFonts w:asciiTheme="minorHAnsi" w:hAnsiTheme="minorHAnsi"/>
          <w:i/>
          <w:iCs/>
          <w:color w:val="333333"/>
          <w:sz w:val="20"/>
          <w:szCs w:val="20"/>
        </w:rPr>
        <w:t>Table B2. Operational Criteria for Evidence Strength Classification</w:t>
      </w:r>
    </w:p>
    <w:tbl>
      <w:tblPr>
        <w:tblStyle w:val="ListTable3-Accent1"/>
        <w:tblW w:w="9355" w:type="dxa"/>
        <w:tblLook w:val="04A0" w:firstRow="1" w:lastRow="0" w:firstColumn="1" w:lastColumn="0" w:noHBand="0" w:noVBand="1"/>
      </w:tblPr>
      <w:tblGrid>
        <w:gridCol w:w="1800"/>
        <w:gridCol w:w="7555"/>
      </w:tblGrid>
      <w:tr w:rsidR="00346A8B" w:rsidTr="00852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00" w:type="dxa"/>
          </w:tcPr>
          <w:p w:rsidR="00346A8B" w:rsidRPr="002802E3" w:rsidRDefault="00346A8B" w:rsidP="00852145">
            <w:pPr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Classification</w:t>
            </w:r>
          </w:p>
        </w:tc>
        <w:tc>
          <w:tcPr>
            <w:tcW w:w="7555" w:type="dxa"/>
          </w:tcPr>
          <w:p w:rsidR="00346A8B" w:rsidRPr="002802E3" w:rsidRDefault="00346A8B" w:rsidP="0085214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Operational Criteria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Strong</w:t>
            </w:r>
          </w:p>
        </w:tc>
        <w:tc>
          <w:tcPr>
            <w:tcW w:w="7555" w:type="dxa"/>
          </w:tcPr>
          <w:p w:rsidR="00346A8B" w:rsidRPr="002802E3" w:rsidRDefault="00346A8B" w:rsidP="00852145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≥2 systematic reviews or meta-analyses with low risk of bias (AMSTAR-2 moderate–high), or ≥3 independent RCTs with adequate power for clinically meaningful outcomes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Moderate</w:t>
            </w:r>
          </w:p>
        </w:tc>
        <w:tc>
          <w:tcPr>
            <w:tcW w:w="7555" w:type="dxa"/>
          </w:tcPr>
          <w:p w:rsidR="00346A8B" w:rsidRPr="002802E3" w:rsidRDefault="00346A8B" w:rsidP="00852145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 xml:space="preserve">≥2 RCTs or well-designed prospective cohort studies; findings consistent across contexts and populations, but with some limitations in </w:t>
            </w: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generalisability</w:t>
            </w:r>
            <w:proofErr w:type="spellEnd"/>
            <w:r>
              <w:rPr>
                <w:rFonts w:asciiTheme="minorHAnsi" w:hAnsiTheme="minorHAnsi"/>
                <w:sz w:val="17"/>
                <w:szCs w:val="17"/>
              </w:rPr>
              <w:t xml:space="preserve"> or follow-up duration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Emerging</w:t>
            </w:r>
          </w:p>
        </w:tc>
        <w:tc>
          <w:tcPr>
            <w:tcW w:w="7555" w:type="dxa"/>
          </w:tcPr>
          <w:p w:rsidR="00346A8B" w:rsidRPr="002802E3" w:rsidRDefault="00346A8B" w:rsidP="00852145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≥1 controlled study or consistent observational evidence across ≥2 settings; findings directionally consistent but lacking replication at scale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lastRenderedPageBreak/>
              <w:t>Absent</w:t>
            </w:r>
          </w:p>
        </w:tc>
        <w:tc>
          <w:tcPr>
            <w:tcW w:w="7555" w:type="dxa"/>
          </w:tcPr>
          <w:p w:rsidR="00346A8B" w:rsidRPr="002802E3" w:rsidRDefault="00346A8B" w:rsidP="00852145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Evidence limited to case reports, expert opinion, commentary, or no peer-reviewed evidence identified in the search</w:t>
            </w:r>
          </w:p>
        </w:tc>
      </w:tr>
    </w:tbl>
    <w:p w:rsidR="00346A8B" w:rsidRDefault="00346A8B" w:rsidP="00346A8B">
      <w:pPr>
        <w:pStyle w:val="Heading2"/>
      </w:pPr>
      <w:r>
        <w:t>Appendix C</w:t>
      </w:r>
    </w:p>
    <w:p w:rsidR="00346A8B" w:rsidRPr="005F534C" w:rsidRDefault="00346A8B" w:rsidP="00346A8B">
      <w:pPr>
        <w:keepNext/>
        <w:spacing w:before="160" w:after="8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i/>
          <w:iCs/>
          <w:color w:val="333333"/>
          <w:sz w:val="20"/>
          <w:szCs w:val="20"/>
        </w:rPr>
        <w:t>Table C1. List of Abbreviations</w:t>
      </w:r>
    </w:p>
    <w:tbl>
      <w:tblPr>
        <w:tblStyle w:val="ListTable3-Accent1"/>
        <w:tblW w:w="9360" w:type="dxa"/>
        <w:tblLook w:val="04A0" w:firstRow="1" w:lastRow="0" w:firstColumn="1" w:lastColumn="0" w:noHBand="0" w:noVBand="1"/>
      </w:tblPr>
      <w:tblGrid>
        <w:gridCol w:w="1800"/>
        <w:gridCol w:w="7560"/>
      </w:tblGrid>
      <w:tr w:rsidR="00346A8B" w:rsidTr="00852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0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Abbreviation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Full Term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AI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Artificial Intelligence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AAF 3.0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Agentic AI Framework, version 3.0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CONSORT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Consolidated Standards of Reporting Trials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EU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European Union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FHIR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Fast Healthcare Interoperability Resources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GDP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Gross Domestic Product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HIRA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Health Insurance Review &amp; Assessment Service (South Korea)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HL7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Health Level Seven International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ICT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Information and Communications Technology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LLM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Large Language Model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NASSS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Non-adoption, Abandonment, Scale-up, Spread, and Sustainability Framework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NEHR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National Electronic Health Record (Singapore)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NICE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National Institute for Health and Care Excellence (UK)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OECD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Organisation</w:t>
            </w:r>
            <w:proofErr w:type="spellEnd"/>
            <w:r>
              <w:rPr>
                <w:rFonts w:asciiTheme="minorHAnsi" w:hAnsiTheme="minorHAnsi"/>
                <w:sz w:val="17"/>
                <w:szCs w:val="17"/>
              </w:rPr>
              <w:t xml:space="preserve"> for Economic Co-operation and Development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PRISMA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Preferred Reporting Items for Systematic Reviews and Meta-Analyses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RCT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Randomised</w:t>
            </w:r>
            <w:proofErr w:type="spellEnd"/>
            <w:r>
              <w:rPr>
                <w:rFonts w:asciiTheme="minorHAnsi" w:hAnsiTheme="minorHAnsi"/>
                <w:sz w:val="17"/>
                <w:szCs w:val="17"/>
              </w:rPr>
              <w:t xml:space="preserve"> Controlled Trial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TRIPOD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Transparent Reporting of a Multivariable Prediction Model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UN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United Nations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WHO</w:t>
            </w:r>
          </w:p>
        </w:tc>
        <w:tc>
          <w:tcPr>
            <w:tcW w:w="75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World Health Organization</w:t>
            </w:r>
          </w:p>
        </w:tc>
      </w:tr>
    </w:tbl>
    <w:p w:rsidR="00346A8B" w:rsidRDefault="00346A8B" w:rsidP="00346A8B"/>
    <w:p w:rsidR="00346A8B" w:rsidRPr="006C45F8" w:rsidRDefault="00346A8B" w:rsidP="00346A8B">
      <w:pPr>
        <w:pStyle w:val="Heading2"/>
      </w:pPr>
      <w:r>
        <w:t>Appendix D</w:t>
      </w:r>
    </w:p>
    <w:p w:rsidR="00346A8B" w:rsidRPr="005F534C" w:rsidRDefault="00346A8B" w:rsidP="00346A8B">
      <w:pPr>
        <w:keepNext/>
        <w:spacing w:before="160" w:after="80"/>
        <w:rPr>
          <w:rFonts w:asciiTheme="minorHAnsi" w:hAnsiTheme="minorHAnsi"/>
          <w:i/>
          <w:iCs/>
          <w:color w:val="333333"/>
          <w:sz w:val="20"/>
          <w:szCs w:val="20"/>
        </w:rPr>
      </w:pPr>
      <w:r>
        <w:rPr>
          <w:rFonts w:asciiTheme="minorHAnsi" w:hAnsiTheme="minorHAnsi"/>
          <w:i/>
          <w:iCs/>
          <w:color w:val="333333"/>
          <w:sz w:val="20"/>
          <w:szCs w:val="20"/>
        </w:rPr>
        <w:t>Table D1. Measurable Success Metrics — Phase 1 Exit Criteria</w:t>
      </w:r>
    </w:p>
    <w:tbl>
      <w:tblPr>
        <w:tblStyle w:val="ListTable3-Accent1"/>
        <w:tblW w:w="9360" w:type="dxa"/>
        <w:tblLook w:val="04A0" w:firstRow="1" w:lastRow="0" w:firstColumn="1" w:lastColumn="0" w:noHBand="0" w:noVBand="1"/>
      </w:tblPr>
      <w:tblGrid>
        <w:gridCol w:w="2200"/>
        <w:gridCol w:w="7160"/>
      </w:tblGrid>
      <w:tr w:rsidR="00346A8B" w:rsidTr="00852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0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Dimension</w:t>
            </w:r>
          </w:p>
        </w:tc>
        <w:tc>
          <w:tcPr>
            <w:tcW w:w="716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Exit Criterion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Interoperability</w:t>
            </w:r>
          </w:p>
        </w:tc>
        <w:tc>
          <w:tcPr>
            <w:tcW w:w="71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≥ 1 regional data environment meeting HL7 FHIR compliance across primary, secondary, and long-term care providers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Governance</w:t>
            </w:r>
          </w:p>
        </w:tc>
        <w:tc>
          <w:tcPr>
            <w:tcW w:w="71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National AI eldercare governance framework published with a cross-ministerial mandate and funded secretariat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Regulatory</w:t>
            </w:r>
          </w:p>
        </w:tc>
        <w:tc>
          <w:tcPr>
            <w:tcW w:w="71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Regulatory sandbox pathway operational with ≥ 2 active supervised AI eldercare pilots enrolled.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Workflow Mapping</w:t>
            </w:r>
          </w:p>
        </w:tc>
        <w:tc>
          <w:tcPr>
            <w:tcW w:w="71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Structured workflow analysis completed for the 3 priority bottleneck domains in ≥ 3 representative care settings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0" w:type="dxa"/>
            <w:vAlign w:val="center"/>
          </w:tcPr>
          <w:p w:rsidR="00346A8B" w:rsidRPr="00B33AB1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Procurement</w:t>
            </w:r>
          </w:p>
        </w:tc>
        <w:tc>
          <w:tcPr>
            <w:tcW w:w="71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An AI-specific procurement framework has been published, covering modular and integrated platform categories.</w:t>
            </w:r>
          </w:p>
        </w:tc>
      </w:tr>
    </w:tbl>
    <w:p w:rsidR="00346A8B" w:rsidRDefault="00346A8B" w:rsidP="00346A8B">
      <w:pPr>
        <w:keepNext/>
        <w:spacing w:before="160" w:after="80"/>
        <w:rPr>
          <w:rFonts w:asciiTheme="minorHAnsi" w:hAnsiTheme="minorHAnsi"/>
          <w:i/>
          <w:iCs/>
          <w:color w:val="333333"/>
          <w:sz w:val="20"/>
          <w:szCs w:val="20"/>
        </w:rPr>
      </w:pPr>
    </w:p>
    <w:p w:rsidR="00346A8B" w:rsidRPr="005F534C" w:rsidRDefault="00346A8B" w:rsidP="00346A8B">
      <w:pPr>
        <w:keepNext/>
        <w:spacing w:before="160" w:after="80"/>
        <w:rPr>
          <w:rFonts w:asciiTheme="minorHAnsi" w:hAnsiTheme="minorHAnsi"/>
          <w:i/>
          <w:iCs/>
          <w:color w:val="333333"/>
          <w:sz w:val="20"/>
          <w:szCs w:val="20"/>
        </w:rPr>
      </w:pPr>
      <w:r>
        <w:rPr>
          <w:rFonts w:asciiTheme="minorHAnsi" w:hAnsiTheme="minorHAnsi"/>
          <w:i/>
          <w:iCs/>
          <w:color w:val="333333"/>
          <w:sz w:val="20"/>
          <w:szCs w:val="20"/>
        </w:rPr>
        <w:t>Table D2. Pilot Validation Criteria — Phase 2 Gate Review</w:t>
      </w:r>
    </w:p>
    <w:tbl>
      <w:tblPr>
        <w:tblStyle w:val="ListTable3-Accent1"/>
        <w:tblW w:w="9360" w:type="dxa"/>
        <w:tblLook w:val="04A0" w:firstRow="1" w:lastRow="0" w:firstColumn="1" w:lastColumn="0" w:noHBand="0" w:noVBand="1"/>
      </w:tblPr>
      <w:tblGrid>
        <w:gridCol w:w="1600"/>
        <w:gridCol w:w="2800"/>
        <w:gridCol w:w="2500"/>
        <w:gridCol w:w="2460"/>
      </w:tblGrid>
      <w:tr w:rsidR="00346A8B" w:rsidTr="00852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0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Domain</w:t>
            </w:r>
          </w:p>
        </w:tc>
        <w:tc>
          <w:tcPr>
            <w:tcW w:w="280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Clinical Metrics</w:t>
            </w:r>
          </w:p>
        </w:tc>
        <w:tc>
          <w:tcPr>
            <w:tcW w:w="250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Operational Metrics</w:t>
            </w:r>
          </w:p>
        </w:tc>
        <w:tc>
          <w:tcPr>
            <w:tcW w:w="246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Economic Metrics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Ambient Documentation</w:t>
            </w:r>
          </w:p>
        </w:tc>
        <w:tc>
          <w:tcPr>
            <w:tcW w:w="280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Clinician-reported documentation accuracy; adverse event documentation completeness</w:t>
            </w:r>
          </w:p>
        </w:tc>
        <w:tc>
          <w:tcPr>
            <w:tcW w:w="250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Time-on-documentation reduction ≥ 15%; patient-facing time increase ≥ 10%; adoption rate ≥ 70% at 6 months</w:t>
            </w:r>
          </w:p>
        </w:tc>
        <w:tc>
          <w:tcPr>
            <w:tcW w:w="24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Net cost per clinician FTE (training + platform); comparison against baseline documentation costs</w:t>
            </w:r>
          </w:p>
        </w:tc>
      </w:tr>
      <w:tr w:rsidR="00346A8B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lastRenderedPageBreak/>
              <w:t>Discharge Coordination</w:t>
            </w:r>
          </w:p>
        </w:tc>
        <w:tc>
          <w:tcPr>
            <w:tcW w:w="280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30-day readmission rate; medication reconciliation error rate</w:t>
            </w:r>
          </w:p>
        </w:tc>
        <w:tc>
          <w:tcPr>
            <w:tcW w:w="250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Care plan completion timeliness; inter-provider handover documentation completeness</w:t>
            </w:r>
          </w:p>
        </w:tc>
        <w:tc>
          <w:tcPr>
            <w:tcW w:w="24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Cost-per-readmission prevented; platform vs. manual coordination staffing cost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Remote Monitoring</w:t>
            </w:r>
          </w:p>
        </w:tc>
        <w:tc>
          <w:tcPr>
            <w:tcW w:w="280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Deterioration detection sensitivity and specificity; emergency department avoidance rate</w:t>
            </w:r>
          </w:p>
        </w:tc>
        <w:tc>
          <w:tcPr>
            <w:tcW w:w="250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Sensor adherence rate; alert burden (false positive rate); GP/community nurse response time</w:t>
            </w:r>
          </w:p>
        </w:tc>
        <w:tc>
          <w:tcPr>
            <w:tcW w:w="246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Cost-per-</w:t>
            </w: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hospitalisation</w:t>
            </w:r>
            <w:proofErr w:type="spellEnd"/>
            <w:r>
              <w:rPr>
                <w:rFonts w:asciiTheme="minorHAnsi" w:hAnsiTheme="minorHAnsi"/>
                <w:sz w:val="17"/>
                <w:szCs w:val="17"/>
              </w:rPr>
              <w:t xml:space="preserve"> avoided; home care cost vs. </w:t>
            </w: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institutionalisation</w:t>
            </w:r>
            <w:proofErr w:type="spellEnd"/>
            <w:r>
              <w:rPr>
                <w:rFonts w:asciiTheme="minorHAnsi" w:hAnsiTheme="minorHAnsi"/>
                <w:sz w:val="17"/>
                <w:szCs w:val="17"/>
              </w:rPr>
              <w:t xml:space="preserve"> counterfactual.</w:t>
            </w:r>
          </w:p>
        </w:tc>
      </w:tr>
    </w:tbl>
    <w:p w:rsidR="00346A8B" w:rsidRDefault="00346A8B" w:rsidP="00346A8B">
      <w:pPr>
        <w:pStyle w:val="Heading2"/>
      </w:pPr>
    </w:p>
    <w:p w:rsidR="00346A8B" w:rsidRDefault="00346A8B" w:rsidP="00346A8B">
      <w:pPr>
        <w:pStyle w:val="Heading2"/>
      </w:pPr>
      <w:r>
        <w:t>Appendix E</w:t>
      </w:r>
    </w:p>
    <w:p w:rsidR="00346A8B" w:rsidRPr="005F534C" w:rsidRDefault="00346A8B" w:rsidP="00346A8B">
      <w:pPr>
        <w:keepNext/>
        <w:spacing w:before="160" w:after="80"/>
        <w:rPr>
          <w:rFonts w:asciiTheme="minorHAnsi" w:hAnsiTheme="minorHAnsi"/>
          <w:i/>
          <w:iCs/>
          <w:color w:val="333333"/>
          <w:sz w:val="20"/>
          <w:szCs w:val="20"/>
        </w:rPr>
      </w:pPr>
      <w:r>
        <w:rPr>
          <w:rFonts w:asciiTheme="minorHAnsi" w:hAnsiTheme="minorHAnsi"/>
          <w:i/>
          <w:iCs/>
          <w:color w:val="333333"/>
          <w:sz w:val="20"/>
          <w:szCs w:val="20"/>
        </w:rPr>
        <w:t>Table E1. Cross-Country Demographic Profile (2023 with 2050 Projections)</w:t>
      </w:r>
    </w:p>
    <w:tbl>
      <w:tblPr>
        <w:tblStyle w:val="ListTable3-Accent1"/>
        <w:tblW w:w="9360" w:type="dxa"/>
        <w:tblLook w:val="04A0" w:firstRow="1" w:lastRow="0" w:firstColumn="1" w:lastColumn="0" w:noHBand="0" w:noVBand="1"/>
      </w:tblPr>
      <w:tblGrid>
        <w:gridCol w:w="1175"/>
        <w:gridCol w:w="1221"/>
        <w:gridCol w:w="1088"/>
        <w:gridCol w:w="868"/>
        <w:gridCol w:w="845"/>
        <w:gridCol w:w="910"/>
        <w:gridCol w:w="999"/>
        <w:gridCol w:w="999"/>
        <w:gridCol w:w="1255"/>
      </w:tblGrid>
      <w:tr w:rsidR="00346A8B" w:rsidRPr="006C45F8" w:rsidTr="00852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75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Country</w:t>
            </w:r>
          </w:p>
        </w:tc>
        <w:tc>
          <w:tcPr>
            <w:tcW w:w="1221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Total Pop 2023 (M)</w:t>
            </w:r>
          </w:p>
        </w:tc>
        <w:tc>
          <w:tcPr>
            <w:tcW w:w="1088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Pop 65+ (M)</w:t>
            </w:r>
          </w:p>
        </w:tc>
        <w:tc>
          <w:tcPr>
            <w:tcW w:w="868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% 65+ (2023)</w:t>
            </w:r>
          </w:p>
        </w:tc>
        <w:tc>
          <w:tcPr>
            <w:tcW w:w="845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TFR (2023)</w:t>
            </w:r>
          </w:p>
        </w:tc>
        <w:tc>
          <w:tcPr>
            <w:tcW w:w="910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Old-Age Dep. Ratio 2023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Old-Age Dep. Ratio 2050 (</w:t>
            </w:r>
            <w:proofErr w:type="spellStart"/>
            <w:r>
              <w:rPr>
                <w:rFonts w:asciiTheme="minorHAnsi" w:hAnsiTheme="minorHAnsi"/>
                <w:color w:val="FFFFFF"/>
                <w:sz w:val="18"/>
                <w:szCs w:val="18"/>
              </w:rPr>
              <w:t>proj</w:t>
            </w:r>
            <w:proofErr w:type="spellEnd"/>
            <w:r>
              <w:rPr>
                <w:rFonts w:asciiTheme="minorHAnsi" w:hAnsiTheme="minorHAnsi"/>
                <w:color w:val="FFFFFF"/>
                <w:sz w:val="18"/>
                <w:szCs w:val="18"/>
              </w:rPr>
              <w:t>.)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% 65+ by 2050 (</w:t>
            </w:r>
            <w:proofErr w:type="spellStart"/>
            <w:r>
              <w:rPr>
                <w:rFonts w:asciiTheme="minorHAnsi" w:hAnsiTheme="minorHAnsi"/>
                <w:color w:val="FFFFFF"/>
                <w:sz w:val="18"/>
                <w:szCs w:val="18"/>
              </w:rPr>
              <w:t>proj</w:t>
            </w:r>
            <w:proofErr w:type="spellEnd"/>
            <w:r>
              <w:rPr>
                <w:rFonts w:asciiTheme="minorHAnsi" w:hAnsiTheme="minorHAnsi"/>
                <w:color w:val="FFFFFF"/>
                <w:sz w:val="18"/>
                <w:szCs w:val="18"/>
              </w:rPr>
              <w:t>.)</w:t>
            </w:r>
          </w:p>
        </w:tc>
        <w:tc>
          <w:tcPr>
            <w:tcW w:w="1255" w:type="dxa"/>
            <w:vAlign w:val="center"/>
          </w:tcPr>
          <w:p w:rsidR="00346A8B" w:rsidRPr="006C45F8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color w:val="FFFFFF"/>
                <w:sz w:val="18"/>
                <w:szCs w:val="18"/>
              </w:rPr>
              <w:t>Workforce Trend</w:t>
            </w:r>
          </w:p>
        </w:tc>
      </w:tr>
      <w:tr w:rsidR="00346A8B" w:rsidRPr="006C45F8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Japan</w:t>
            </w:r>
          </w:p>
        </w:tc>
        <w:tc>
          <w:tcPr>
            <w:tcW w:w="1221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125.7</w:t>
            </w:r>
          </w:p>
        </w:tc>
        <w:tc>
          <w:tcPr>
            <w:tcW w:w="108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36.6</w:t>
            </w:r>
          </w:p>
        </w:tc>
        <w:tc>
          <w:tcPr>
            <w:tcW w:w="86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29.1%</w:t>
            </w:r>
          </w:p>
        </w:tc>
        <w:tc>
          <w:tcPr>
            <w:tcW w:w="84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1.20</w:t>
            </w:r>
          </w:p>
        </w:tc>
        <w:tc>
          <w:tcPr>
            <w:tcW w:w="91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52.1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82.6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38.7%</w:t>
            </w:r>
          </w:p>
        </w:tc>
        <w:tc>
          <w:tcPr>
            <w:tcW w:w="125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−10% by 2030</w:t>
            </w:r>
          </w:p>
        </w:tc>
      </w:tr>
      <w:tr w:rsidR="00346A8B" w:rsidRPr="006C45F8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South Korea</w:t>
            </w:r>
          </w:p>
        </w:tc>
        <w:tc>
          <w:tcPr>
            <w:tcW w:w="1221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51.7</w:t>
            </w:r>
          </w:p>
        </w:tc>
        <w:tc>
          <w:tcPr>
            <w:tcW w:w="108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9.5</w:t>
            </w:r>
          </w:p>
        </w:tc>
        <w:tc>
          <w:tcPr>
            <w:tcW w:w="86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18.4%</w:t>
            </w:r>
          </w:p>
        </w:tc>
        <w:tc>
          <w:tcPr>
            <w:tcW w:w="84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0.72</w:t>
            </w:r>
          </w:p>
        </w:tc>
        <w:tc>
          <w:tcPr>
            <w:tcW w:w="91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26.4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79.0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38.2%</w:t>
            </w:r>
          </w:p>
        </w:tc>
        <w:tc>
          <w:tcPr>
            <w:tcW w:w="125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−16% by 2040</w:t>
            </w:r>
          </w:p>
        </w:tc>
      </w:tr>
      <w:tr w:rsidR="00346A8B" w:rsidRPr="006C45F8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Germany</w:t>
            </w:r>
          </w:p>
        </w:tc>
        <w:tc>
          <w:tcPr>
            <w:tcW w:w="1221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84.4</w:t>
            </w:r>
          </w:p>
        </w:tc>
        <w:tc>
          <w:tcPr>
            <w:tcW w:w="108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18.8</w:t>
            </w:r>
          </w:p>
        </w:tc>
        <w:tc>
          <w:tcPr>
            <w:tcW w:w="86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22.3%</w:t>
            </w:r>
          </w:p>
        </w:tc>
        <w:tc>
          <w:tcPr>
            <w:tcW w:w="84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1.46</w:t>
            </w:r>
          </w:p>
        </w:tc>
        <w:tc>
          <w:tcPr>
            <w:tcW w:w="91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37.1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59.8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31.6%</w:t>
            </w:r>
          </w:p>
        </w:tc>
        <w:tc>
          <w:tcPr>
            <w:tcW w:w="125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−6M by 2035</w:t>
            </w:r>
          </w:p>
        </w:tc>
      </w:tr>
      <w:tr w:rsidR="00346A8B" w:rsidRPr="006C45F8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Italy</w:t>
            </w:r>
          </w:p>
        </w:tc>
        <w:tc>
          <w:tcPr>
            <w:tcW w:w="1221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59.1</w:t>
            </w:r>
          </w:p>
        </w:tc>
        <w:tc>
          <w:tcPr>
            <w:tcW w:w="108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14.1</w:t>
            </w:r>
          </w:p>
        </w:tc>
        <w:tc>
          <w:tcPr>
            <w:tcW w:w="86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23.8%</w:t>
            </w:r>
          </w:p>
        </w:tc>
        <w:tc>
          <w:tcPr>
            <w:tcW w:w="84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1.24</w:t>
            </w:r>
          </w:p>
        </w:tc>
        <w:tc>
          <w:tcPr>
            <w:tcW w:w="91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38.2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74.0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35.9%</w:t>
            </w:r>
          </w:p>
        </w:tc>
        <w:tc>
          <w:tcPr>
            <w:tcW w:w="125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−4M by 2040</w:t>
            </w:r>
          </w:p>
        </w:tc>
      </w:tr>
      <w:tr w:rsidR="00346A8B" w:rsidRPr="006C45F8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France</w:t>
            </w:r>
          </w:p>
        </w:tc>
        <w:tc>
          <w:tcPr>
            <w:tcW w:w="1221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68.2</w:t>
            </w:r>
          </w:p>
        </w:tc>
        <w:tc>
          <w:tcPr>
            <w:tcW w:w="108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14.5</w:t>
            </w:r>
          </w:p>
        </w:tc>
        <w:tc>
          <w:tcPr>
            <w:tcW w:w="86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21.3%</w:t>
            </w:r>
          </w:p>
        </w:tc>
        <w:tc>
          <w:tcPr>
            <w:tcW w:w="84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1.79</w:t>
            </w:r>
          </w:p>
        </w:tc>
        <w:tc>
          <w:tcPr>
            <w:tcW w:w="91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35.6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52.0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29.1%</w:t>
            </w:r>
          </w:p>
        </w:tc>
        <w:tc>
          <w:tcPr>
            <w:tcW w:w="125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Moderate decline</w:t>
            </w:r>
          </w:p>
        </w:tc>
      </w:tr>
      <w:tr w:rsidR="00346A8B" w:rsidRPr="006C45F8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United States</w:t>
            </w:r>
          </w:p>
        </w:tc>
        <w:tc>
          <w:tcPr>
            <w:tcW w:w="1221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335.9</w:t>
            </w:r>
          </w:p>
        </w:tc>
        <w:tc>
          <w:tcPr>
            <w:tcW w:w="108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58.1</w:t>
            </w:r>
          </w:p>
        </w:tc>
        <w:tc>
          <w:tcPr>
            <w:tcW w:w="86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17.3%</w:t>
            </w:r>
          </w:p>
        </w:tc>
        <w:tc>
          <w:tcPr>
            <w:tcW w:w="84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1.66</w:t>
            </w:r>
          </w:p>
        </w:tc>
        <w:tc>
          <w:tcPr>
            <w:tcW w:w="91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27.8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40.5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23.4%</w:t>
            </w:r>
          </w:p>
        </w:tc>
        <w:tc>
          <w:tcPr>
            <w:tcW w:w="125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Slowed by immigration</w:t>
            </w:r>
          </w:p>
        </w:tc>
      </w:tr>
      <w:tr w:rsidR="00346A8B" w:rsidRPr="006C45F8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Singapore</w:t>
            </w:r>
          </w:p>
        </w:tc>
        <w:tc>
          <w:tcPr>
            <w:tcW w:w="1221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5.9</w:t>
            </w:r>
          </w:p>
        </w:tc>
        <w:tc>
          <w:tcPr>
            <w:tcW w:w="108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0.93</w:t>
            </w:r>
          </w:p>
        </w:tc>
        <w:tc>
          <w:tcPr>
            <w:tcW w:w="86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15.8%</w:t>
            </w:r>
          </w:p>
        </w:tc>
        <w:tc>
          <w:tcPr>
            <w:tcW w:w="84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0.97</w:t>
            </w:r>
          </w:p>
        </w:tc>
        <w:tc>
          <w:tcPr>
            <w:tcW w:w="91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24.2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85.0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47.0%</w:t>
            </w:r>
          </w:p>
        </w:tc>
        <w:tc>
          <w:tcPr>
            <w:tcW w:w="125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−330K by 2030</w:t>
            </w:r>
          </w:p>
        </w:tc>
      </w:tr>
      <w:tr w:rsidR="00346A8B" w:rsidRPr="006C45F8" w:rsidTr="008521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left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OECD Average</w:t>
            </w:r>
          </w:p>
        </w:tc>
        <w:tc>
          <w:tcPr>
            <w:tcW w:w="1221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~1,380 (38 states)</w:t>
            </w:r>
          </w:p>
        </w:tc>
        <w:tc>
          <w:tcPr>
            <w:tcW w:w="108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~241</w:t>
            </w:r>
          </w:p>
        </w:tc>
        <w:tc>
          <w:tcPr>
            <w:tcW w:w="868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~17.5%</w:t>
            </w:r>
          </w:p>
        </w:tc>
        <w:tc>
          <w:tcPr>
            <w:tcW w:w="84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~1.63</w:t>
            </w:r>
          </w:p>
        </w:tc>
        <w:tc>
          <w:tcPr>
            <w:tcW w:w="910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~31.6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~48.0</w:t>
            </w:r>
          </w:p>
        </w:tc>
        <w:tc>
          <w:tcPr>
            <w:tcW w:w="999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~25.0%</w:t>
            </w:r>
          </w:p>
        </w:tc>
        <w:tc>
          <w:tcPr>
            <w:tcW w:w="1255" w:type="dxa"/>
            <w:vAlign w:val="center"/>
          </w:tcPr>
          <w:p w:rsidR="00346A8B" w:rsidRPr="006C45F8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Varies by member state</w:t>
            </w:r>
          </w:p>
        </w:tc>
      </w:tr>
    </w:tbl>
    <w:p w:rsidR="00346A8B" w:rsidRPr="005F534C" w:rsidRDefault="00346A8B" w:rsidP="00346A8B">
      <w:pPr>
        <w:spacing w:before="60"/>
        <w:rPr>
          <w:sz w:val="14"/>
          <w:szCs w:val="14"/>
        </w:rPr>
      </w:pPr>
      <w:r>
        <w:rPr>
          <w:i/>
          <w:iCs/>
          <w:color w:val="555555"/>
          <w:sz w:val="14"/>
          <w:szCs w:val="14"/>
        </w:rPr>
        <w:t xml:space="preserve">Sources: UN World Population Prospects 2024 </w:t>
      </w:r>
      <w:r>
        <w:rPr>
          <w:i/>
          <w:iCs/>
          <w:color w:val="555555"/>
          <w:sz w:val="14"/>
          <w:szCs w:val="14"/>
          <w:vertAlign w:val="superscript"/>
        </w:rPr>
        <w:t>[1]</w:t>
      </w:r>
      <w:r>
        <w:rPr>
          <w:i/>
          <w:iCs/>
          <w:color w:val="555555"/>
          <w:sz w:val="14"/>
          <w:szCs w:val="14"/>
        </w:rPr>
        <w:t xml:space="preserve">; Statistics Korea 2024 </w:t>
      </w:r>
      <w:r>
        <w:rPr>
          <w:i/>
          <w:iCs/>
          <w:color w:val="555555"/>
          <w:sz w:val="14"/>
          <w:szCs w:val="14"/>
          <w:vertAlign w:val="superscript"/>
        </w:rPr>
        <w:t>[4]</w:t>
      </w:r>
      <w:r>
        <w:rPr>
          <w:i/>
          <w:iCs/>
          <w:color w:val="555555"/>
          <w:sz w:val="14"/>
          <w:szCs w:val="14"/>
        </w:rPr>
        <w:t xml:space="preserve">; OECD Society at a Glance 2024 </w:t>
      </w:r>
      <w:r>
        <w:rPr>
          <w:i/>
          <w:iCs/>
          <w:color w:val="555555"/>
          <w:sz w:val="14"/>
          <w:szCs w:val="14"/>
          <w:vertAlign w:val="superscript"/>
        </w:rPr>
        <w:t>[3]</w:t>
      </w:r>
      <w:r>
        <w:rPr>
          <w:i/>
          <w:iCs/>
          <w:color w:val="555555"/>
          <w:sz w:val="14"/>
          <w:szCs w:val="14"/>
        </w:rPr>
        <w:t xml:space="preserve">; Japan Statistics Bureau 2023 </w:t>
      </w:r>
      <w:r>
        <w:rPr>
          <w:i/>
          <w:iCs/>
          <w:color w:val="555555"/>
          <w:sz w:val="14"/>
          <w:szCs w:val="14"/>
          <w:vertAlign w:val="superscript"/>
        </w:rPr>
        <w:t>[8]</w:t>
      </w:r>
      <w:r>
        <w:rPr>
          <w:i/>
          <w:iCs/>
          <w:color w:val="555555"/>
          <w:sz w:val="14"/>
          <w:szCs w:val="14"/>
        </w:rPr>
        <w:t xml:space="preserve">; </w:t>
      </w:r>
      <w:proofErr w:type="spellStart"/>
      <w:r>
        <w:rPr>
          <w:i/>
          <w:iCs/>
          <w:color w:val="555555"/>
          <w:sz w:val="14"/>
          <w:szCs w:val="14"/>
        </w:rPr>
        <w:t>Destatis</w:t>
      </w:r>
      <w:proofErr w:type="spellEnd"/>
      <w:r>
        <w:rPr>
          <w:i/>
          <w:iCs/>
          <w:color w:val="555555"/>
          <w:sz w:val="14"/>
          <w:szCs w:val="14"/>
        </w:rPr>
        <w:t xml:space="preserve"> 2023; Singapore MOH Committee of Supply Debate 2024 </w:t>
      </w:r>
      <w:r>
        <w:rPr>
          <w:i/>
          <w:iCs/>
          <w:color w:val="555555"/>
          <w:sz w:val="14"/>
          <w:szCs w:val="14"/>
          <w:vertAlign w:val="superscript"/>
        </w:rPr>
        <w:t>[49]</w:t>
      </w:r>
      <w:r>
        <w:rPr>
          <w:i/>
          <w:iCs/>
          <w:color w:val="555555"/>
          <w:sz w:val="14"/>
          <w:szCs w:val="14"/>
        </w:rPr>
        <w:t>; OECD Demographic Outlook 2023.</w:t>
      </w:r>
    </w:p>
    <w:p w:rsidR="00346A8B" w:rsidRDefault="00346A8B" w:rsidP="00346A8B">
      <w:pPr>
        <w:keepNext/>
        <w:spacing w:before="160" w:after="80"/>
        <w:rPr>
          <w:rFonts w:asciiTheme="minorHAnsi" w:hAnsiTheme="minorHAnsi"/>
          <w:i/>
          <w:iCs/>
          <w:color w:val="333333"/>
          <w:sz w:val="20"/>
          <w:szCs w:val="20"/>
        </w:rPr>
      </w:pPr>
    </w:p>
    <w:p w:rsidR="00346A8B" w:rsidRPr="005F534C" w:rsidRDefault="00346A8B" w:rsidP="00346A8B">
      <w:pPr>
        <w:keepNext/>
        <w:spacing w:before="160" w:after="80"/>
        <w:rPr>
          <w:rFonts w:asciiTheme="minorHAnsi" w:hAnsiTheme="minorHAnsi"/>
          <w:i/>
          <w:iCs/>
          <w:color w:val="333333"/>
          <w:sz w:val="20"/>
          <w:szCs w:val="20"/>
        </w:rPr>
      </w:pPr>
      <w:r>
        <w:rPr>
          <w:rFonts w:asciiTheme="minorHAnsi" w:hAnsiTheme="minorHAnsi"/>
          <w:i/>
          <w:iCs/>
          <w:color w:val="333333"/>
          <w:sz w:val="20"/>
          <w:szCs w:val="20"/>
        </w:rPr>
        <w:t>Table E2. Cross-Country Healthcare Expenditure and Fiscal Impact (2023 with 2050 Projections)</w:t>
      </w:r>
    </w:p>
    <w:tbl>
      <w:tblPr>
        <w:tblStyle w:val="ListTable3-Accent1"/>
        <w:tblW w:w="9343" w:type="dxa"/>
        <w:tblLook w:val="04A0" w:firstRow="1" w:lastRow="0" w:firstColumn="1" w:lastColumn="0" w:noHBand="0" w:noVBand="1"/>
      </w:tblPr>
      <w:tblGrid>
        <w:gridCol w:w="1031"/>
        <w:gridCol w:w="877"/>
        <w:gridCol w:w="829"/>
        <w:gridCol w:w="991"/>
        <w:gridCol w:w="1091"/>
        <w:gridCol w:w="1091"/>
        <w:gridCol w:w="953"/>
        <w:gridCol w:w="1090"/>
        <w:gridCol w:w="1390"/>
      </w:tblGrid>
      <w:tr w:rsidR="00346A8B" w:rsidTr="008521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31" w:type="dxa"/>
            <w:vAlign w:val="center"/>
          </w:tcPr>
          <w:p w:rsidR="00346A8B" w:rsidRPr="005F534C" w:rsidRDefault="00346A8B" w:rsidP="00852145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color w:val="FFFFFF"/>
                <w:sz w:val="20"/>
                <w:szCs w:val="20"/>
              </w:rPr>
              <w:t>Country</w:t>
            </w:r>
          </w:p>
        </w:tc>
        <w:tc>
          <w:tcPr>
            <w:tcW w:w="877" w:type="dxa"/>
            <w:vAlign w:val="center"/>
          </w:tcPr>
          <w:p w:rsidR="00346A8B" w:rsidRPr="005F534C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color w:val="FFFFFF"/>
                <w:sz w:val="20"/>
                <w:szCs w:val="20"/>
              </w:rPr>
              <w:t>Total Health Exp.</w:t>
            </w:r>
          </w:p>
        </w:tc>
        <w:tc>
          <w:tcPr>
            <w:tcW w:w="829" w:type="dxa"/>
            <w:vAlign w:val="center"/>
          </w:tcPr>
          <w:p w:rsidR="00346A8B" w:rsidRPr="005F534C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color w:val="FFFFFF"/>
                <w:sz w:val="20"/>
                <w:szCs w:val="20"/>
              </w:rPr>
              <w:t>Health Exp. % GDP</w:t>
            </w:r>
          </w:p>
        </w:tc>
        <w:tc>
          <w:tcPr>
            <w:tcW w:w="991" w:type="dxa"/>
            <w:vAlign w:val="center"/>
          </w:tcPr>
          <w:p w:rsidR="00346A8B" w:rsidRPr="005F534C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color w:val="FFFFFF"/>
                <w:sz w:val="20"/>
                <w:szCs w:val="20"/>
              </w:rPr>
              <w:t>Per Capita (All)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color w:val="FFFFFF"/>
                <w:sz w:val="20"/>
                <w:szCs w:val="20"/>
              </w:rPr>
              <w:t>Per Capita 65+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color w:val="FFFFFF"/>
                <w:sz w:val="20"/>
                <w:szCs w:val="20"/>
              </w:rPr>
              <w:t>Ageing-Related Spend % GDP</w:t>
            </w:r>
          </w:p>
        </w:tc>
        <w:tc>
          <w:tcPr>
            <w:tcW w:w="953" w:type="dxa"/>
            <w:vAlign w:val="center"/>
          </w:tcPr>
          <w:p w:rsidR="00346A8B" w:rsidRPr="005F534C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color w:val="FFFFFF"/>
                <w:sz w:val="20"/>
                <w:szCs w:val="20"/>
              </w:rPr>
              <w:t>Proj</w:t>
            </w:r>
            <w:proofErr w:type="spellEnd"/>
            <w:r>
              <w:rPr>
                <w:rFonts w:asciiTheme="minorHAnsi" w:hAnsiTheme="minorHAnsi"/>
                <w:color w:val="FFFFFF"/>
                <w:sz w:val="20"/>
                <w:szCs w:val="20"/>
              </w:rPr>
              <w:t>. Health % GDP (2050)</w:t>
            </w:r>
          </w:p>
        </w:tc>
        <w:tc>
          <w:tcPr>
            <w:tcW w:w="1090" w:type="dxa"/>
            <w:vAlign w:val="center"/>
          </w:tcPr>
          <w:p w:rsidR="00346A8B" w:rsidRPr="005F534C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color w:val="FFFFFF"/>
                <w:sz w:val="20"/>
                <w:szCs w:val="20"/>
              </w:rPr>
              <w:t>Ageing Impact on GDP Growth</w:t>
            </w:r>
          </w:p>
        </w:tc>
        <w:tc>
          <w:tcPr>
            <w:tcW w:w="1390" w:type="dxa"/>
            <w:vAlign w:val="center"/>
          </w:tcPr>
          <w:p w:rsidR="00346A8B" w:rsidRPr="005F534C" w:rsidRDefault="00346A8B" w:rsidP="00852145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color w:val="FFFFFF"/>
                <w:sz w:val="20"/>
                <w:szCs w:val="20"/>
              </w:rPr>
              <w:t>Fiscal Risk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Japan</w:t>
            </w:r>
          </w:p>
        </w:tc>
        <w:tc>
          <w:tcPr>
            <w:tcW w:w="877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$484B</w:t>
            </w:r>
          </w:p>
        </w:tc>
        <w:tc>
          <w:tcPr>
            <w:tcW w:w="829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11.5%</w:t>
            </w:r>
          </w:p>
        </w:tc>
        <w:tc>
          <w:tcPr>
            <w:tcW w:w="9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$3,850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~$13,500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~24%</w:t>
            </w:r>
          </w:p>
        </w:tc>
        <w:tc>
          <w:tcPr>
            <w:tcW w:w="953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~14–15%</w:t>
            </w:r>
          </w:p>
        </w:tc>
        <w:tc>
          <w:tcPr>
            <w:tcW w:w="10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−0.8 pp/</w:t>
            </w: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yr</w:t>
            </w:r>
            <w:proofErr w:type="spellEnd"/>
          </w:p>
        </w:tc>
        <w:tc>
          <w:tcPr>
            <w:tcW w:w="13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Very High — Debt 235% GDP</w:t>
            </w:r>
          </w:p>
        </w:tc>
      </w:tr>
      <w:tr w:rsidR="00346A8B" w:rsidTr="00852145">
        <w:trPr>
          <w:trHeight w:val="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South Korea</w:t>
            </w:r>
          </w:p>
        </w:tc>
        <w:tc>
          <w:tcPr>
            <w:tcW w:w="877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$183B</w:t>
            </w:r>
          </w:p>
        </w:tc>
        <w:tc>
          <w:tcPr>
            <w:tcW w:w="829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9.7%</w:t>
            </w:r>
          </w:p>
        </w:tc>
        <w:tc>
          <w:tcPr>
            <w:tcW w:w="9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$3,540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~$12,400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~16%</w:t>
            </w:r>
          </w:p>
        </w:tc>
        <w:tc>
          <w:tcPr>
            <w:tcW w:w="953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~13–14%</w:t>
            </w:r>
          </w:p>
        </w:tc>
        <w:tc>
          <w:tcPr>
            <w:tcW w:w="10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−0.6 pp/</w:t>
            </w: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yr</w:t>
            </w:r>
            <w:proofErr w:type="spellEnd"/>
          </w:p>
        </w:tc>
        <w:tc>
          <w:tcPr>
            <w:tcW w:w="13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Very High — NPS fund depletion by 2055 projected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Germany</w:t>
            </w:r>
          </w:p>
        </w:tc>
        <w:tc>
          <w:tcPr>
            <w:tcW w:w="877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$480B</w:t>
            </w:r>
          </w:p>
        </w:tc>
        <w:tc>
          <w:tcPr>
            <w:tcW w:w="829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12.8%</w:t>
            </w:r>
          </w:p>
        </w:tc>
        <w:tc>
          <w:tcPr>
            <w:tcW w:w="9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$5,690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~$19,900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~25%</w:t>
            </w:r>
          </w:p>
        </w:tc>
        <w:tc>
          <w:tcPr>
            <w:tcW w:w="953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~15–16%</w:t>
            </w:r>
          </w:p>
        </w:tc>
        <w:tc>
          <w:tcPr>
            <w:tcW w:w="10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−1.2 pp/</w:t>
            </w: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yr</w:t>
            </w:r>
            <w:proofErr w:type="spellEnd"/>
          </w:p>
        </w:tc>
        <w:tc>
          <w:tcPr>
            <w:tcW w:w="13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High — Structural deficit rising; care workforce crisis</w:t>
            </w:r>
          </w:p>
        </w:tc>
      </w:tr>
      <w:tr w:rsidR="00346A8B" w:rsidTr="00852145">
        <w:trPr>
          <w:trHeight w:val="8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Italy</w:t>
            </w:r>
          </w:p>
        </w:tc>
        <w:tc>
          <w:tcPr>
            <w:tcW w:w="877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$182B</w:t>
            </w:r>
          </w:p>
        </w:tc>
        <w:tc>
          <w:tcPr>
            <w:tcW w:w="829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9.5%</w:t>
            </w:r>
          </w:p>
        </w:tc>
        <w:tc>
          <w:tcPr>
            <w:tcW w:w="9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$3,080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~$10,800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~27%</w:t>
            </w:r>
          </w:p>
        </w:tc>
        <w:tc>
          <w:tcPr>
            <w:tcW w:w="953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~13–14%</w:t>
            </w:r>
          </w:p>
        </w:tc>
        <w:tc>
          <w:tcPr>
            <w:tcW w:w="10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−0.9 pp/</w:t>
            </w: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yr</w:t>
            </w:r>
            <w:proofErr w:type="spellEnd"/>
          </w:p>
        </w:tc>
        <w:tc>
          <w:tcPr>
            <w:tcW w:w="13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Critical — Debt 140% GDP; pensions 15.4% GDP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lastRenderedPageBreak/>
              <w:t>United States</w:t>
            </w:r>
          </w:p>
        </w:tc>
        <w:tc>
          <w:tcPr>
            <w:tcW w:w="877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$4.86T</w:t>
            </w:r>
          </w:p>
        </w:tc>
        <w:tc>
          <w:tcPr>
            <w:tcW w:w="829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16.9%</w:t>
            </w:r>
          </w:p>
        </w:tc>
        <w:tc>
          <w:tcPr>
            <w:tcW w:w="9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$13,500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~$19,000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~25%</w:t>
            </w:r>
          </w:p>
        </w:tc>
        <w:tc>
          <w:tcPr>
            <w:tcW w:w="953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~22–25%</w:t>
            </w:r>
          </w:p>
        </w:tc>
        <w:tc>
          <w:tcPr>
            <w:tcW w:w="10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−0.3 pp/</w:t>
            </w: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yr</w:t>
            </w:r>
            <w:proofErr w:type="spellEnd"/>
          </w:p>
        </w:tc>
        <w:tc>
          <w:tcPr>
            <w:tcW w:w="13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High — Medicare/SS unfunded liabilities exceed $60T</w:t>
            </w:r>
          </w:p>
        </w:tc>
      </w:tr>
      <w:tr w:rsidR="00346A8B" w:rsidTr="00852145">
        <w:trPr>
          <w:trHeight w:val="8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Singapore</w:t>
            </w:r>
          </w:p>
        </w:tc>
        <w:tc>
          <w:tcPr>
            <w:tcW w:w="877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~$16B</w:t>
            </w:r>
          </w:p>
        </w:tc>
        <w:tc>
          <w:tcPr>
            <w:tcW w:w="829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6.1%</w:t>
            </w:r>
          </w:p>
        </w:tc>
        <w:tc>
          <w:tcPr>
            <w:tcW w:w="9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$2,710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~$9,500</w:t>
            </w:r>
          </w:p>
        </w:tc>
        <w:tc>
          <w:tcPr>
            <w:tcW w:w="1091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~10%</w:t>
            </w:r>
          </w:p>
        </w:tc>
        <w:tc>
          <w:tcPr>
            <w:tcW w:w="953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~9–10%</w:t>
            </w:r>
          </w:p>
        </w:tc>
        <w:tc>
          <w:tcPr>
            <w:tcW w:w="10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−0.7 pp/</w:t>
            </w: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yr</w:t>
            </w:r>
            <w:proofErr w:type="spellEnd"/>
          </w:p>
        </w:tc>
        <w:tc>
          <w:tcPr>
            <w:tcW w:w="1390" w:type="dxa"/>
            <w:vAlign w:val="center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Managed — CPF reserves; proactive policy buffers</w:t>
            </w:r>
          </w:p>
        </w:tc>
      </w:tr>
      <w:tr w:rsidR="00346A8B" w:rsidTr="008521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1" w:type="dxa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rPr>
                <w:rFonts w:asciiTheme="minorHAnsi" w:hAnsiTheme="minorHAnsi"/>
                <w:b w:val="0"/>
                <w:bCs w:val="0"/>
                <w:sz w:val="17"/>
                <w:szCs w:val="17"/>
              </w:rPr>
            </w:pPr>
            <w:r>
              <w:rPr>
                <w:rFonts w:asciiTheme="minorHAnsi" w:hAnsiTheme="minorHAnsi"/>
                <w:b w:val="0"/>
                <w:bCs w:val="0"/>
                <w:sz w:val="17"/>
                <w:szCs w:val="17"/>
              </w:rPr>
              <w:t>OECD Average</w:t>
            </w:r>
          </w:p>
        </w:tc>
        <w:tc>
          <w:tcPr>
            <w:tcW w:w="877" w:type="dxa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~$4,986 per capita</w:t>
            </w:r>
          </w:p>
        </w:tc>
        <w:tc>
          <w:tcPr>
            <w:tcW w:w="829" w:type="dxa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~8.9%</w:t>
            </w:r>
          </w:p>
        </w:tc>
        <w:tc>
          <w:tcPr>
            <w:tcW w:w="991" w:type="dxa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~$4,986</w:t>
            </w:r>
          </w:p>
        </w:tc>
        <w:tc>
          <w:tcPr>
            <w:tcW w:w="1091" w:type="dxa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~$17,400</w:t>
            </w:r>
          </w:p>
        </w:tc>
        <w:tc>
          <w:tcPr>
            <w:tcW w:w="1091" w:type="dxa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~18–20%</w:t>
            </w:r>
          </w:p>
        </w:tc>
        <w:tc>
          <w:tcPr>
            <w:tcW w:w="953" w:type="dxa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~11–12%</w:t>
            </w:r>
          </w:p>
        </w:tc>
        <w:tc>
          <w:tcPr>
            <w:tcW w:w="1090" w:type="dxa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~−0.5 pp/</w:t>
            </w:r>
            <w:proofErr w:type="spellStart"/>
            <w:r>
              <w:rPr>
                <w:rFonts w:asciiTheme="minorHAnsi" w:hAnsiTheme="minorHAnsi"/>
                <w:sz w:val="17"/>
                <w:szCs w:val="17"/>
              </w:rPr>
              <w:t>yr</w:t>
            </w:r>
            <w:proofErr w:type="spellEnd"/>
          </w:p>
        </w:tc>
        <w:tc>
          <w:tcPr>
            <w:tcW w:w="1390" w:type="dxa"/>
          </w:tcPr>
          <w:p w:rsidR="00346A8B" w:rsidRPr="005F534C" w:rsidRDefault="00346A8B" w:rsidP="00852145">
            <w:pPr>
              <w:spacing w:before="0" w:after="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17"/>
                <w:szCs w:val="17"/>
              </w:rPr>
            </w:pPr>
            <w:r>
              <w:rPr>
                <w:rFonts w:asciiTheme="minorHAnsi" w:hAnsiTheme="minorHAnsi"/>
                <w:sz w:val="17"/>
                <w:szCs w:val="17"/>
              </w:rPr>
              <w:t>Varies widely</w:t>
            </w:r>
          </w:p>
        </w:tc>
      </w:tr>
    </w:tbl>
    <w:p w:rsidR="00346A8B" w:rsidRDefault="00346A8B" w:rsidP="00346A8B">
      <w:pPr>
        <w:rPr>
          <w:i/>
          <w:iCs/>
          <w:color w:val="555555"/>
          <w:sz w:val="14"/>
          <w:szCs w:val="14"/>
        </w:rPr>
      </w:pPr>
      <w:r>
        <w:rPr>
          <w:i/>
          <w:iCs/>
          <w:color w:val="555555"/>
          <w:sz w:val="14"/>
          <w:szCs w:val="14"/>
        </w:rPr>
        <w:t xml:space="preserve">Notes: Per-capita 65+ spending estimated at ~3.5x the national per-capita rate, consistent with OECD </w:t>
      </w:r>
      <w:proofErr w:type="spellStart"/>
      <w:r>
        <w:rPr>
          <w:i/>
          <w:iCs/>
          <w:color w:val="555555"/>
          <w:sz w:val="14"/>
          <w:szCs w:val="14"/>
        </w:rPr>
        <w:t>utilisation</w:t>
      </w:r>
      <w:proofErr w:type="spellEnd"/>
      <w:r>
        <w:rPr>
          <w:i/>
          <w:iCs/>
          <w:color w:val="555555"/>
          <w:sz w:val="14"/>
          <w:szCs w:val="14"/>
        </w:rPr>
        <w:t xml:space="preserve"> data</w:t>
      </w:r>
      <w:r>
        <w:rPr>
          <w:i/>
          <w:iCs/>
          <w:color w:val="555555"/>
          <w:sz w:val="14"/>
          <w:szCs w:val="14"/>
          <w:vertAlign w:val="superscript"/>
        </w:rPr>
        <w:t>[2]</w:t>
      </w:r>
      <w:r>
        <w:rPr>
          <w:i/>
          <w:iCs/>
          <w:color w:val="555555"/>
          <w:sz w:val="14"/>
          <w:szCs w:val="14"/>
        </w:rPr>
        <w:t xml:space="preserve">; the US figure uses a ~1.4x multiplier reflecting the elevated national baseline (CMS Medicare data). Total ageing-related spending includes government healthcare, public pensions, and statutory long-term care. Fiscal Risk: Managed = reserves-funded with proactive buffers; High/Very High = structural fiscal stress; Critical = acute sustainability risk. Sources: </w:t>
      </w:r>
      <w:proofErr w:type="gramStart"/>
      <w:r>
        <w:rPr>
          <w:i/>
          <w:iCs/>
          <w:color w:val="555555"/>
          <w:sz w:val="14"/>
          <w:szCs w:val="14"/>
        </w:rPr>
        <w:t>OECD</w:t>
      </w:r>
      <w:r>
        <w:rPr>
          <w:i/>
          <w:iCs/>
          <w:color w:val="555555"/>
          <w:sz w:val="14"/>
          <w:szCs w:val="14"/>
          <w:vertAlign w:val="superscript"/>
        </w:rPr>
        <w:t>[</w:t>
      </w:r>
      <w:proofErr w:type="gramEnd"/>
      <w:r>
        <w:rPr>
          <w:i/>
          <w:iCs/>
          <w:color w:val="555555"/>
          <w:sz w:val="14"/>
          <w:szCs w:val="14"/>
          <w:vertAlign w:val="superscript"/>
        </w:rPr>
        <w:t>2][9]</w:t>
      </w:r>
      <w:r>
        <w:rPr>
          <w:i/>
          <w:iCs/>
          <w:color w:val="555555"/>
          <w:sz w:val="14"/>
          <w:szCs w:val="14"/>
        </w:rPr>
        <w:t>; WHO</w:t>
      </w:r>
      <w:r>
        <w:rPr>
          <w:i/>
          <w:iCs/>
          <w:color w:val="555555"/>
          <w:sz w:val="14"/>
          <w:szCs w:val="14"/>
          <w:vertAlign w:val="superscript"/>
        </w:rPr>
        <w:t>[5]</w:t>
      </w:r>
      <w:r>
        <w:rPr>
          <w:i/>
          <w:iCs/>
          <w:color w:val="555555"/>
          <w:sz w:val="14"/>
          <w:szCs w:val="14"/>
        </w:rPr>
        <w:t xml:space="preserve">; IMF </w:t>
      </w:r>
      <w:r>
        <w:rPr>
          <w:i/>
          <w:iCs/>
          <w:color w:val="555555"/>
          <w:sz w:val="14"/>
          <w:szCs w:val="14"/>
          <w:vertAlign w:val="superscript"/>
        </w:rPr>
        <w:t>[46][48]</w:t>
      </w:r>
      <w:r>
        <w:rPr>
          <w:i/>
          <w:iCs/>
          <w:color w:val="555555"/>
          <w:sz w:val="14"/>
          <w:szCs w:val="14"/>
        </w:rPr>
        <w:t xml:space="preserve">; UN </w:t>
      </w:r>
      <w:r>
        <w:rPr>
          <w:i/>
          <w:iCs/>
          <w:color w:val="555555"/>
          <w:sz w:val="14"/>
          <w:szCs w:val="14"/>
          <w:vertAlign w:val="superscript"/>
        </w:rPr>
        <w:t>[1]</w:t>
      </w:r>
      <w:r>
        <w:rPr>
          <w:i/>
          <w:iCs/>
          <w:color w:val="555555"/>
          <w:sz w:val="14"/>
          <w:szCs w:val="14"/>
        </w:rPr>
        <w:t xml:space="preserve">; European Commission </w:t>
      </w:r>
      <w:r>
        <w:rPr>
          <w:i/>
          <w:iCs/>
          <w:color w:val="555555"/>
          <w:sz w:val="14"/>
          <w:szCs w:val="14"/>
          <w:vertAlign w:val="superscript"/>
        </w:rPr>
        <w:t>[15]</w:t>
      </w:r>
      <w:r>
        <w:rPr>
          <w:i/>
          <w:iCs/>
          <w:color w:val="555555"/>
          <w:sz w:val="14"/>
          <w:szCs w:val="14"/>
        </w:rPr>
        <w:t xml:space="preserve">; Singapore MOH </w:t>
      </w:r>
      <w:r>
        <w:rPr>
          <w:i/>
          <w:iCs/>
          <w:color w:val="555555"/>
          <w:sz w:val="14"/>
          <w:szCs w:val="14"/>
          <w:vertAlign w:val="superscript"/>
        </w:rPr>
        <w:t>[49]</w:t>
      </w:r>
      <w:r>
        <w:rPr>
          <w:i/>
          <w:iCs/>
          <w:color w:val="555555"/>
          <w:sz w:val="14"/>
          <w:szCs w:val="14"/>
        </w:rPr>
        <w:t>.</w:t>
      </w:r>
    </w:p>
    <w:p w:rsidR="00346A8B" w:rsidRDefault="00346A8B" w:rsidP="00346A8B">
      <w:pPr>
        <w:rPr>
          <w:i/>
          <w:iCs/>
          <w:color w:val="555555"/>
          <w:sz w:val="14"/>
          <w:szCs w:val="14"/>
        </w:rPr>
      </w:pPr>
    </w:p>
    <w:p w:rsidR="00346A8B" w:rsidRDefault="00346A8B" w:rsidP="00346A8B">
      <w:pPr>
        <w:rPr>
          <w:rFonts w:asciiTheme="minorHAnsi" w:hAnsiTheme="minorHAnsi"/>
        </w:rPr>
      </w:pPr>
    </w:p>
    <w:p w:rsidR="00346A8B" w:rsidRPr="005C7783" w:rsidRDefault="00346A8B" w:rsidP="00346A8B">
      <w:pPr>
        <w:rPr>
          <w:rFonts w:asciiTheme="minorHAnsi" w:hAnsiTheme="minorHAnsi"/>
        </w:rPr>
      </w:pPr>
      <w:r>
        <w:rPr>
          <w:rFonts w:asciiTheme="minorHAnsi" w:hAnsiTheme="minorHAnsi"/>
          <w:b/>
          <w:bCs/>
          <w:color w:val="50637D" w:themeColor="text2" w:themeTint="E6"/>
        </w:rPr>
        <w:t xml:space="preserve">Copyright©2026 </w:t>
      </w:r>
      <w:r>
        <w:rPr>
          <w:rFonts w:asciiTheme="minorHAnsi" w:hAnsiTheme="minorHAnsi"/>
        </w:rPr>
        <w:t>Antioch Streams. This is an open-access article distributed under the terms of the Creative Commons Attribution License, which permits unrestricted use, distribution, and reproduction in any medium, provided the original author and source are credited.</w:t>
      </w:r>
    </w:p>
    <w:p w:rsidR="0065739F" w:rsidRDefault="00346A8B">
      <w:bookmarkStart w:id="0" w:name="_GoBack"/>
      <w:bookmarkEnd w:id="0"/>
    </w:p>
    <w:sectPr w:rsidR="00657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8B"/>
    <w:rsid w:val="00252E32"/>
    <w:rsid w:val="00346A8B"/>
    <w:rsid w:val="005C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8E2F5C-CB34-42F6-B57F-2F7D6F269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A8B"/>
    <w:pPr>
      <w:spacing w:before="100" w:after="100" w:line="240" w:lineRule="auto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6A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34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6A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41BAAE"/>
      <w:kern w:val="2"/>
      <w:sz w:val="28"/>
      <w:szCs w:val="3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6A8B"/>
    <w:rPr>
      <w:rFonts w:asciiTheme="majorHAnsi" w:eastAsiaTheme="majorEastAsia" w:hAnsiTheme="majorHAnsi" w:cstheme="majorBidi"/>
      <w:color w:val="2E74B5" w:themeColor="accent1" w:themeShade="BF"/>
      <w:kern w:val="2"/>
      <w:sz w:val="34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346A8B"/>
    <w:rPr>
      <w:rFonts w:asciiTheme="majorHAnsi" w:eastAsiaTheme="majorEastAsia" w:hAnsiTheme="majorHAnsi" w:cstheme="majorBidi"/>
      <w:color w:val="41BAAE"/>
      <w:kern w:val="2"/>
      <w:sz w:val="28"/>
      <w:szCs w:val="32"/>
      <w14:ligatures w14:val="standardContextual"/>
    </w:rPr>
  </w:style>
  <w:style w:type="table" w:styleId="ListTable3-Accent1">
    <w:name w:val="List Table 3 Accent 1"/>
    <w:basedOn w:val="TableNormal"/>
    <w:uiPriority w:val="48"/>
    <w:rsid w:val="00346A8B"/>
    <w:pPr>
      <w:spacing w:after="0" w:line="240" w:lineRule="auto"/>
    </w:pPr>
    <w:rPr>
      <w:kern w:val="2"/>
      <w:sz w:val="24"/>
      <w:szCs w:val="24"/>
      <w14:ligatures w14:val="standardContextual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1198</Words>
  <Characters>6833</Characters>
  <Application>Microsoft Office Word</Application>
  <DocSecurity>0</DocSecurity>
  <Lines>56</Lines>
  <Paragraphs>16</Paragraphs>
  <ScaleCrop>false</ScaleCrop>
  <Company/>
  <LinksUpToDate>false</LinksUpToDate>
  <CharactersWithSpaces>8015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2026-04-02T12:10:00Z</dcterms:created>
  <dcterms:modified xsi:type="dcterms:W3CDTF">2026-04-02T12:10:00Z</dcterms:modified>
</cp:coreProperties>
</file>